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DBF3">
      <w:pPr>
        <w:spacing w:before="55" w:line="219" w:lineRule="auto"/>
        <w:ind w:left="39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仿宋"/>
          <w:spacing w:val="-11"/>
          <w:sz w:val="28"/>
          <w:szCs w:val="28"/>
        </w:rPr>
        <w:t>附件七</w:t>
      </w:r>
    </w:p>
    <w:p w14:paraId="75D2AB14">
      <w:pPr>
        <w:spacing w:line="378" w:lineRule="auto"/>
        <w:rPr>
          <w:rFonts w:ascii="Arial"/>
          <w:sz w:val="21"/>
        </w:rPr>
      </w:pPr>
    </w:p>
    <w:p w14:paraId="27F457AD">
      <w:pPr>
        <w:spacing w:before="103" w:line="197" w:lineRule="auto"/>
        <w:jc w:val="center"/>
        <w:rPr>
          <w:rFonts w:ascii="华文中宋" w:hAnsi="华文中宋" w:eastAsia="华文中宋" w:cs="华文中宋"/>
          <w:spacing w:val="-15"/>
          <w:w w:val="98"/>
          <w:sz w:val="28"/>
          <w:szCs w:val="28"/>
        </w:rPr>
      </w:pPr>
      <w:r>
        <w:rPr>
          <w:rFonts w:ascii="华文中宋" w:hAnsi="华文中宋" w:eastAsia="华文中宋" w:cs="华文中宋"/>
          <w:spacing w:val="-15"/>
          <w:w w:val="98"/>
          <w:sz w:val="28"/>
          <w:szCs w:val="28"/>
        </w:rPr>
        <w:t>北京卫联</w:t>
      </w:r>
      <w:r>
        <w:rPr>
          <w:rFonts w:hint="eastAsia" w:ascii="华文中宋" w:hAnsi="华文中宋" w:eastAsia="华文中宋" w:cs="华文中宋"/>
          <w:spacing w:val="-15"/>
          <w:w w:val="98"/>
          <w:sz w:val="28"/>
          <w:szCs w:val="28"/>
          <w:lang w:val="en-US" w:eastAsia="zh-CN"/>
        </w:rPr>
        <w:t>健康公益</w:t>
      </w:r>
      <w:r>
        <w:rPr>
          <w:rFonts w:ascii="华文中宋" w:hAnsi="华文中宋" w:eastAsia="华文中宋" w:cs="华文中宋"/>
          <w:spacing w:val="-15"/>
          <w:w w:val="98"/>
          <w:sz w:val="28"/>
          <w:szCs w:val="28"/>
        </w:rPr>
        <w:t>基金会</w:t>
      </w:r>
    </w:p>
    <w:p w14:paraId="1042A8EB">
      <w:pPr>
        <w:spacing w:before="103" w:line="197" w:lineRule="auto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5"/>
          <w:w w:val="98"/>
          <w:sz w:val="28"/>
          <w:szCs w:val="28"/>
        </w:rPr>
        <w:t>存货管理制度</w:t>
      </w:r>
    </w:p>
    <w:p w14:paraId="573CCFB9">
      <w:pPr>
        <w:spacing w:line="355" w:lineRule="auto"/>
        <w:rPr>
          <w:rFonts w:ascii="Arial"/>
          <w:sz w:val="21"/>
        </w:rPr>
      </w:pPr>
    </w:p>
    <w:p w14:paraId="1375F4C2">
      <w:pPr>
        <w:pStyle w:val="2"/>
        <w:spacing w:before="102" w:line="228" w:lineRule="auto"/>
        <w:ind w:right="135" w:firstLine="551"/>
      </w:pPr>
      <w:r>
        <w:rPr>
          <w:b/>
          <w:bCs/>
          <w:spacing w:val="-16"/>
        </w:rPr>
        <w:t>第一条</w:t>
      </w:r>
      <w:r>
        <w:rPr>
          <w:spacing w:val="-16"/>
        </w:rPr>
        <w:t xml:space="preserve">   为了规范基金会的库存管理，根据《中华人民共和国会</w:t>
      </w:r>
      <w:r>
        <w:rPr>
          <w:spacing w:val="-17"/>
        </w:rPr>
        <w:t>计法》、</w:t>
      </w:r>
      <w:r>
        <w:t xml:space="preserve"> </w:t>
      </w:r>
      <w:r>
        <w:rPr>
          <w:spacing w:val="-28"/>
        </w:rPr>
        <w:t>《民间非营利组织会计制度》和《基金会章程》，  制定本办</w:t>
      </w:r>
      <w:r>
        <w:rPr>
          <w:spacing w:val="-29"/>
        </w:rPr>
        <w:t>法。</w:t>
      </w:r>
    </w:p>
    <w:p w14:paraId="0662ECA7">
      <w:pPr>
        <w:pStyle w:val="2"/>
        <w:spacing w:before="27" w:line="232" w:lineRule="auto"/>
        <w:ind w:left="20" w:right="11" w:firstLine="531"/>
      </w:pPr>
      <w:r>
        <w:rPr>
          <w:b/>
          <w:bCs/>
          <w:spacing w:val="-13"/>
        </w:rPr>
        <w:t>第二条</w:t>
      </w:r>
      <w:r>
        <w:rPr>
          <w:spacing w:val="24"/>
          <w:w w:val="101"/>
        </w:rPr>
        <w:t xml:space="preserve">  </w:t>
      </w:r>
      <w:r>
        <w:rPr>
          <w:spacing w:val="-13"/>
        </w:rPr>
        <w:t>本基金会存货系指在日常业务活动中持有以备出售或捐赠的，或</w:t>
      </w:r>
      <w:r>
        <w:t xml:space="preserve"> </w:t>
      </w:r>
      <w:r>
        <w:rPr>
          <w:spacing w:val="-10"/>
        </w:rPr>
        <w:t>者为了出售或捐赠仍处在生产过程中的，或者将在生产、提供服务或日常管</w:t>
      </w:r>
      <w:r>
        <w:rPr>
          <w:spacing w:val="1"/>
        </w:rPr>
        <w:t xml:space="preserve">  </w:t>
      </w:r>
      <w:r>
        <w:rPr>
          <w:spacing w:val="-10"/>
        </w:rPr>
        <w:t>理过程中耗用的材料、物资、商品等。具体包括材料、库存商品、委托加工</w:t>
      </w:r>
      <w:r>
        <w:rPr>
          <w:spacing w:val="1"/>
        </w:rPr>
        <w:t xml:space="preserve">  </w:t>
      </w:r>
      <w:r>
        <w:rPr>
          <w:spacing w:val="-10"/>
        </w:rPr>
        <w:t>材料、以及达不到固定资产标准的工具、器具、用品等。</w:t>
      </w:r>
    </w:p>
    <w:p w14:paraId="672FA193">
      <w:pPr>
        <w:pStyle w:val="2"/>
        <w:spacing w:before="25" w:line="230" w:lineRule="auto"/>
        <w:ind w:left="24" w:firstLine="527"/>
      </w:pPr>
      <w:r>
        <w:rPr>
          <w:b/>
          <w:bCs/>
          <w:spacing w:val="-13"/>
        </w:rPr>
        <w:t>第三条</w:t>
      </w:r>
      <w:r>
        <w:rPr>
          <w:spacing w:val="24"/>
          <w:w w:val="101"/>
        </w:rPr>
        <w:t xml:space="preserve">  </w:t>
      </w:r>
      <w:r>
        <w:rPr>
          <w:spacing w:val="-13"/>
        </w:rPr>
        <w:t>本基金会外购的存货按取得时的实际成本计价，接受捐赠的存货</w:t>
      </w:r>
      <w:r>
        <w:t xml:space="preserve"> </w:t>
      </w:r>
      <w:r>
        <w:rPr>
          <w:spacing w:val="-15"/>
        </w:rPr>
        <w:t>按取得时的公允价值计价。接受捐赠的存货成本的确定原则详见《基金会实物</w:t>
      </w:r>
      <w:r>
        <w:rPr>
          <w:spacing w:val="4"/>
        </w:rPr>
        <w:t xml:space="preserve"> </w:t>
      </w:r>
      <w:r>
        <w:rPr>
          <w:spacing w:val="-28"/>
        </w:rPr>
        <w:t>捐赠管理办法》。</w:t>
      </w:r>
    </w:p>
    <w:p w14:paraId="255D23DC">
      <w:pPr>
        <w:pStyle w:val="2"/>
        <w:spacing w:before="23" w:line="227" w:lineRule="auto"/>
        <w:ind w:left="27" w:right="96" w:firstLine="524"/>
      </w:pPr>
      <w:r>
        <w:rPr>
          <w:b/>
          <w:bCs/>
          <w:spacing w:val="-16"/>
        </w:rPr>
        <w:t>第四条</w:t>
      </w:r>
      <w:r>
        <w:rPr>
          <w:spacing w:val="16"/>
        </w:rPr>
        <w:t xml:space="preserve">  </w:t>
      </w:r>
      <w:r>
        <w:rPr>
          <w:spacing w:val="-16"/>
        </w:rPr>
        <w:t>存货入库前应办理验收入库手续，填写</w:t>
      </w:r>
      <w:r>
        <w:rPr>
          <w:spacing w:val="-17"/>
        </w:rPr>
        <w:t>“入库单”，</w:t>
      </w:r>
      <w:r>
        <w:rPr>
          <w:spacing w:val="-33"/>
        </w:rPr>
        <w:t xml:space="preserve"> </w:t>
      </w:r>
      <w:r>
        <w:rPr>
          <w:spacing w:val="-17"/>
        </w:rPr>
        <w:t>由保管人和</w:t>
      </w:r>
      <w:r>
        <w:t xml:space="preserve"> </w:t>
      </w:r>
      <w:r>
        <w:rPr>
          <w:spacing w:val="-22"/>
        </w:rPr>
        <w:t>验收人签字确认；存货出库时，填写“出库单”，</w:t>
      </w:r>
      <w:r>
        <w:rPr>
          <w:spacing w:val="-16"/>
        </w:rPr>
        <w:t xml:space="preserve"> </w:t>
      </w:r>
      <w:r>
        <w:rPr>
          <w:spacing w:val="-22"/>
        </w:rPr>
        <w:t>由保管人和验收人签字确</w:t>
      </w:r>
    </w:p>
    <w:p w14:paraId="59CBE231">
      <w:pPr>
        <w:pStyle w:val="2"/>
        <w:spacing w:before="33" w:line="228" w:lineRule="auto"/>
        <w:ind w:left="59" w:right="246" w:hanging="35"/>
      </w:pPr>
      <w:r>
        <w:rPr>
          <w:spacing w:val="-15"/>
        </w:rPr>
        <w:t>认；入（出）库单一式两联，一联交财务部门留存，</w:t>
      </w:r>
      <w:r>
        <w:rPr>
          <w:spacing w:val="-48"/>
        </w:rPr>
        <w:t xml:space="preserve"> </w:t>
      </w:r>
      <w:r>
        <w:rPr>
          <w:spacing w:val="-15"/>
        </w:rPr>
        <w:t>另一联由存货管理人员</w:t>
      </w:r>
      <w:r>
        <w:t xml:space="preserve"> </w:t>
      </w:r>
      <w:r>
        <w:rPr>
          <w:spacing w:val="-24"/>
        </w:rPr>
        <w:t>留存。</w:t>
      </w:r>
    </w:p>
    <w:p w14:paraId="590B27A5">
      <w:pPr>
        <w:pStyle w:val="2"/>
        <w:spacing w:before="25" w:line="229" w:lineRule="auto"/>
        <w:ind w:left="32" w:right="11" w:firstLine="518"/>
        <w:rPr>
          <w:spacing w:val="-16"/>
        </w:rPr>
      </w:pPr>
      <w:r>
        <w:rPr>
          <w:b/>
          <w:bCs/>
          <w:spacing w:val="-13"/>
        </w:rPr>
        <w:t>第五条</w:t>
      </w:r>
      <w:r>
        <w:rPr>
          <w:spacing w:val="24"/>
          <w:w w:val="101"/>
        </w:rPr>
        <w:t xml:space="preserve">  </w:t>
      </w:r>
      <w:r>
        <w:rPr>
          <w:spacing w:val="-16"/>
        </w:rPr>
        <w:t>存货在发出时，应当根据实际情况采用个别计价法，确定发出存 货的实际成本。</w:t>
      </w:r>
    </w:p>
    <w:p w14:paraId="38A530D4">
      <w:pPr>
        <w:pStyle w:val="2"/>
        <w:spacing w:before="25" w:line="229" w:lineRule="auto"/>
        <w:ind w:left="32" w:right="11" w:firstLine="518"/>
        <w:rPr>
          <w:spacing w:val="-16"/>
        </w:rPr>
      </w:pPr>
      <w:r>
        <w:rPr>
          <w:b/>
          <w:bCs/>
          <w:spacing w:val="-13"/>
        </w:rPr>
        <w:t>第六条</w:t>
      </w:r>
      <w:r>
        <w:rPr>
          <w:spacing w:val="24"/>
          <w:w w:val="101"/>
        </w:rPr>
        <w:t xml:space="preserve">  </w:t>
      </w:r>
      <w:r>
        <w:rPr>
          <w:spacing w:val="-16"/>
        </w:rPr>
        <w:t>存货的盘点采取年末定期盘点和平时不定期抽查相结合，本基金 会存货每年定期盘点一次。应于年末实地盘点实物，盘点结果形成书面报告。年末盘点由财务部和项目部或行政部（不少于两人）联合派员盘点，确 保全面、真实反映情况，要同时关注存货的数量和质量，对于存货发生的盘 盈、盘亏以及变质、毁损的，应当及时查明原因，按照管理权限，经批准后，在期末结账前处理完毕。</w:t>
      </w:r>
    </w:p>
    <w:p w14:paraId="1B48DA34">
      <w:pPr>
        <w:pStyle w:val="2"/>
        <w:spacing w:before="53" w:line="232" w:lineRule="auto"/>
        <w:ind w:left="27" w:right="11" w:firstLine="523"/>
        <w:jc w:val="both"/>
        <w:rPr>
          <w:spacing w:val="-16"/>
        </w:rPr>
      </w:pPr>
      <w:r>
        <w:rPr>
          <w:b/>
          <w:bCs/>
          <w:spacing w:val="-12"/>
        </w:rPr>
        <w:t>第七条</w:t>
      </w:r>
      <w:r>
        <w:rPr>
          <w:spacing w:val="15"/>
        </w:rPr>
        <w:t xml:space="preserve">  </w:t>
      </w:r>
      <w:r>
        <w:rPr>
          <w:spacing w:val="-16"/>
        </w:rPr>
        <w:t>基金会在会计期期末应当对存货是否发生了减值进行检查，在期 末按可变现净值与账面价值孰低确定存货的期末价值。对可变现净值低于账  面价值的差额计提存货跌价准备。如下年度可变现净值回升，应在原已确认  的跌价损失的金额内转回。</w:t>
      </w:r>
    </w:p>
    <w:p w14:paraId="0E595A27"/>
    <w:sectPr>
      <w:pgSz w:w="11907" w:h="16839"/>
      <w:pgMar w:top="1197" w:right="1286" w:bottom="0" w:left="1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D5598"/>
    <w:rsid w:val="710C0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9990</Words>
  <Characters>10001</Characters>
  <TotalTime>0</TotalTime>
  <ScaleCrop>false</ScaleCrop>
  <LinksUpToDate>false</LinksUpToDate>
  <CharactersWithSpaces>10509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2021-06-03T11:59:00Z</dcterms:created>
  <dc:creator>sheng sunny</dc:creator>
  <cp:lastModifiedBy>steven</cp:lastModifiedBy>
  <dcterms:modified xsi:type="dcterms:W3CDTF">2025-09-12T05:56:18Z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2025-01-20T14:54:21Z</vt:filetime>
  </property>
  <property fmtid="{D5CDD505-2E9C-101B-9397-08002B2CF9AE}" pid="4" name="KSOTemplateDocerSaveRecord">
    <vt:lpwstr>eyJoZGlkIjoiY2Y5NzIzYzBkYWE4ZWIxNDQwYzc0YzQwNWI4ZWNiOGUiLCJ1c2VySWQiOiI3MTQyMjA4MjAifQ==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198CF07DCE0D498CBBB5E62D36E813CE_13</vt:lpwstr>
  </property>
</Properties>
</file>