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69EBB">
      <w:pPr>
        <w:pStyle w:val="2"/>
        <w:spacing w:before="55" w:line="208" w:lineRule="auto"/>
        <w:ind w:left="14"/>
      </w:pPr>
      <w:r>
        <w:rPr>
          <w:color w:val="040404"/>
          <w:spacing w:val="-11"/>
        </w:rPr>
        <w:t>附件六</w:t>
      </w:r>
    </w:p>
    <w:p w14:paraId="0F75BD59">
      <w:pPr>
        <w:spacing w:line="340" w:lineRule="auto"/>
        <w:rPr>
          <w:rFonts w:ascii="Arial"/>
          <w:sz w:val="21"/>
        </w:rPr>
      </w:pPr>
    </w:p>
    <w:p w14:paraId="37708A45">
      <w:pPr>
        <w:spacing w:before="103" w:line="197" w:lineRule="auto"/>
        <w:jc w:val="center"/>
        <w:rPr>
          <w:rFonts w:ascii="华文中宋" w:hAnsi="华文中宋" w:eastAsia="华文中宋" w:cs="华文中宋"/>
          <w:color w:val="040404"/>
          <w:spacing w:val="-14"/>
          <w:w w:val="97"/>
          <w:sz w:val="28"/>
          <w:szCs w:val="28"/>
        </w:rPr>
      </w:pPr>
      <w:r>
        <w:rPr>
          <w:rFonts w:ascii="华文中宋" w:hAnsi="华文中宋" w:eastAsia="华文中宋" w:cs="华文中宋"/>
          <w:color w:val="040404"/>
          <w:spacing w:val="-14"/>
          <w:w w:val="97"/>
          <w:sz w:val="28"/>
          <w:szCs w:val="28"/>
        </w:rPr>
        <w:t>北京卫联</w:t>
      </w:r>
      <w:r>
        <w:rPr>
          <w:rFonts w:hint="eastAsia" w:ascii="华文中宋" w:hAnsi="华文中宋" w:eastAsia="华文中宋" w:cs="华文中宋"/>
          <w:color w:val="040404"/>
          <w:spacing w:val="-14"/>
          <w:w w:val="97"/>
          <w:sz w:val="28"/>
          <w:szCs w:val="28"/>
          <w:lang w:val="en-US" w:eastAsia="zh-CN"/>
        </w:rPr>
        <w:t>健康公益</w:t>
      </w:r>
      <w:r>
        <w:rPr>
          <w:rFonts w:ascii="华文中宋" w:hAnsi="华文中宋" w:eastAsia="华文中宋" w:cs="华文中宋"/>
          <w:color w:val="040404"/>
          <w:spacing w:val="-14"/>
          <w:w w:val="97"/>
          <w:sz w:val="28"/>
          <w:szCs w:val="28"/>
        </w:rPr>
        <w:t>基金会</w:t>
      </w:r>
    </w:p>
    <w:p w14:paraId="51C5F82B">
      <w:pPr>
        <w:spacing w:before="103" w:line="197" w:lineRule="auto"/>
        <w:jc w:val="center"/>
        <w:rPr>
          <w:rFonts w:ascii="华文中宋" w:hAnsi="华文中宋" w:eastAsia="华文中宋" w:cs="华文中宋"/>
          <w:sz w:val="28"/>
          <w:szCs w:val="28"/>
        </w:rPr>
      </w:pPr>
      <w:r>
        <w:rPr>
          <w:rFonts w:ascii="华文中宋" w:hAnsi="华文中宋" w:eastAsia="华文中宋" w:cs="华文中宋"/>
          <w:color w:val="040404"/>
          <w:spacing w:val="-14"/>
          <w:w w:val="97"/>
          <w:sz w:val="28"/>
          <w:szCs w:val="28"/>
        </w:rPr>
        <w:t>往来款项管理制度</w:t>
      </w:r>
    </w:p>
    <w:p w14:paraId="611793A7">
      <w:pPr>
        <w:spacing w:line="355" w:lineRule="auto"/>
        <w:rPr>
          <w:rFonts w:ascii="Arial"/>
          <w:sz w:val="21"/>
        </w:rPr>
      </w:pPr>
    </w:p>
    <w:p w14:paraId="486DB617">
      <w:pPr>
        <w:pStyle w:val="2"/>
        <w:spacing w:before="102" w:line="228" w:lineRule="auto"/>
        <w:ind w:left="6" w:right="362" w:firstLine="540"/>
      </w:pPr>
      <w:r>
        <w:rPr>
          <w:spacing w:val="-11"/>
        </w:rPr>
        <w:t>为进一步规范往来款管理，保证资金安全，提高</w:t>
      </w:r>
      <w:r>
        <w:rPr>
          <w:spacing w:val="-12"/>
        </w:rPr>
        <w:t>资金使用效益，</w:t>
      </w:r>
      <w:r>
        <w:rPr>
          <w:spacing w:val="-37"/>
        </w:rPr>
        <w:t xml:space="preserve"> </w:t>
      </w:r>
      <w:r>
        <w:rPr>
          <w:spacing w:val="-12"/>
        </w:rPr>
        <w:t>防范</w:t>
      </w:r>
      <w:r>
        <w:t xml:space="preserve"> </w:t>
      </w:r>
      <w:r>
        <w:rPr>
          <w:spacing w:val="-10"/>
        </w:rPr>
        <w:t>坏账风险，根据《中华人民共和国会计法》、《民间非营利组织会计</w:t>
      </w:r>
      <w:r>
        <w:rPr>
          <w:rFonts w:hint="eastAsia"/>
          <w:spacing w:val="-10"/>
          <w:lang w:val="en-US" w:eastAsia="zh-CN"/>
        </w:rPr>
        <w:t>制</w:t>
      </w:r>
      <w:r>
        <w:rPr>
          <w:spacing w:val="-10"/>
        </w:rPr>
        <w:t>度》等相关法律法规以及实际情况，特制定本办法。</w:t>
      </w:r>
    </w:p>
    <w:p w14:paraId="6D607E95">
      <w:pPr>
        <w:pStyle w:val="2"/>
        <w:spacing w:before="49" w:line="229" w:lineRule="auto"/>
        <w:ind w:left="7" w:right="321" w:firstLine="521"/>
      </w:pPr>
      <w:r>
        <w:rPr>
          <w:b/>
          <w:bCs/>
          <w:spacing w:val="-14"/>
        </w:rPr>
        <w:t>第一条</w:t>
      </w:r>
      <w:r>
        <w:rPr>
          <w:spacing w:val="15"/>
        </w:rPr>
        <w:t xml:space="preserve">  </w:t>
      </w:r>
      <w:r>
        <w:rPr>
          <w:spacing w:val="-14"/>
        </w:rPr>
        <w:t>基金会往来款项主要包括应收账款、其他应收款</w:t>
      </w:r>
      <w:r>
        <w:rPr>
          <w:spacing w:val="-15"/>
        </w:rPr>
        <w:t>、预付账款、</w:t>
      </w:r>
      <w:r>
        <w:t xml:space="preserve"> </w:t>
      </w:r>
      <w:r>
        <w:rPr>
          <w:spacing w:val="-10"/>
        </w:rPr>
        <w:t>应付账款、其他应付款以及预收账款等科目。</w:t>
      </w:r>
    </w:p>
    <w:p w14:paraId="371C9706">
      <w:pPr>
        <w:pStyle w:val="2"/>
        <w:spacing w:before="26" w:line="233" w:lineRule="auto"/>
        <w:ind w:left="2" w:right="271" w:firstLine="525"/>
      </w:pPr>
      <w:r>
        <w:rPr>
          <w:b/>
          <w:bCs/>
          <w:spacing w:val="-14"/>
        </w:rPr>
        <w:t>第二条</w:t>
      </w:r>
      <w:r>
        <w:rPr>
          <w:spacing w:val="18"/>
        </w:rPr>
        <w:t xml:space="preserve">  </w:t>
      </w:r>
      <w:r>
        <w:rPr>
          <w:spacing w:val="-14"/>
        </w:rPr>
        <w:t>建立往来款项管理责任制，</w:t>
      </w:r>
      <w:r>
        <w:rPr>
          <w:spacing w:val="-31"/>
        </w:rPr>
        <w:t xml:space="preserve"> </w:t>
      </w:r>
      <w:r>
        <w:rPr>
          <w:spacing w:val="-14"/>
        </w:rPr>
        <w:t>明确相关职责，责任到人。财务部</w:t>
      </w:r>
      <w:r>
        <w:t xml:space="preserve"> </w:t>
      </w:r>
      <w:r>
        <w:rPr>
          <w:spacing w:val="-10"/>
        </w:rPr>
        <w:t>门是往来款项的归口管理部门，财务人员做好往来款项的核算工作，</w:t>
      </w:r>
      <w:r>
        <w:rPr>
          <w:spacing w:val="-11"/>
        </w:rPr>
        <w:t>依据</w:t>
      </w:r>
      <w:r>
        <w:t xml:space="preserve">  </w:t>
      </w:r>
      <w:r>
        <w:rPr>
          <w:spacing w:val="-10"/>
        </w:rPr>
        <w:t>充分、手续完备、资料齐全、核算准确，做到账目清晰，每月终了列</w:t>
      </w:r>
      <w:r>
        <w:rPr>
          <w:spacing w:val="-11"/>
        </w:rPr>
        <w:t>出往</w:t>
      </w:r>
      <w:r>
        <w:t xml:space="preserve">  </w:t>
      </w:r>
      <w:r>
        <w:rPr>
          <w:spacing w:val="-10"/>
        </w:rPr>
        <w:t>来款项明细清单，并及时提供给有关领导，定期组织业务经办部门开</w:t>
      </w:r>
      <w:r>
        <w:rPr>
          <w:spacing w:val="-11"/>
        </w:rPr>
        <w:t>展往</w:t>
      </w:r>
      <w:r>
        <w:t xml:space="preserve">  </w:t>
      </w:r>
      <w:r>
        <w:rPr>
          <w:spacing w:val="-10"/>
        </w:rPr>
        <w:t>来款项核对清理工作。业务经办部门是往来款项的具体实施部门，对</w:t>
      </w:r>
      <w:r>
        <w:rPr>
          <w:spacing w:val="-11"/>
        </w:rPr>
        <w:t>本部</w:t>
      </w:r>
      <w:r>
        <w:t xml:space="preserve">  </w:t>
      </w:r>
      <w:r>
        <w:rPr>
          <w:spacing w:val="-11"/>
        </w:rPr>
        <w:t>门经办的往来款项负责管理，</w:t>
      </w:r>
      <w:r>
        <w:rPr>
          <w:spacing w:val="-38"/>
        </w:rPr>
        <w:t xml:space="preserve"> </w:t>
      </w:r>
      <w:r>
        <w:rPr>
          <w:spacing w:val="-11"/>
        </w:rPr>
        <w:t>负责债权催收和债务申请付款的工作，</w:t>
      </w:r>
      <w:r>
        <w:rPr>
          <w:spacing w:val="-12"/>
        </w:rPr>
        <w:t>与往</w:t>
      </w:r>
      <w:r>
        <w:t xml:space="preserve">  </w:t>
      </w:r>
      <w:r>
        <w:rPr>
          <w:spacing w:val="-10"/>
        </w:rPr>
        <w:t>来单位核对，并与财务部门定期对账。</w:t>
      </w:r>
    </w:p>
    <w:p w14:paraId="0608D85E">
      <w:pPr>
        <w:pStyle w:val="2"/>
        <w:spacing w:before="26" w:line="228" w:lineRule="auto"/>
        <w:ind w:left="27" w:right="271" w:firstLine="501"/>
      </w:pPr>
      <w:r>
        <w:rPr>
          <w:b/>
          <w:bCs/>
          <w:spacing w:val="-13"/>
        </w:rPr>
        <w:t>第三条</w:t>
      </w:r>
      <w:r>
        <w:rPr>
          <w:spacing w:val="22"/>
        </w:rPr>
        <w:t xml:space="preserve">  </w:t>
      </w:r>
      <w:r>
        <w:rPr>
          <w:spacing w:val="-13"/>
        </w:rPr>
        <w:t>对于基金会内部发生的借款管理详见《北京卫联</w:t>
      </w:r>
      <w:r>
        <w:rPr>
          <w:rFonts w:hint="eastAsia"/>
          <w:spacing w:val="-13"/>
          <w:lang w:val="en-US" w:eastAsia="zh-CN"/>
        </w:rPr>
        <w:t>健康公益</w:t>
      </w:r>
      <w:r>
        <w:rPr>
          <w:spacing w:val="-12"/>
        </w:rPr>
        <w:t>基金会财务管理制度》。</w:t>
      </w:r>
    </w:p>
    <w:p w14:paraId="095C25D5">
      <w:pPr>
        <w:pStyle w:val="2"/>
        <w:spacing w:before="29" w:line="226" w:lineRule="auto"/>
        <w:ind w:right="270" w:firstLine="528"/>
      </w:pPr>
      <w:r>
        <w:rPr>
          <w:b/>
          <w:bCs/>
          <w:spacing w:val="-13"/>
        </w:rPr>
        <w:t>第四条</w:t>
      </w:r>
      <w:r>
        <w:rPr>
          <w:spacing w:val="23"/>
        </w:rPr>
        <w:t xml:space="preserve">  </w:t>
      </w:r>
      <w:r>
        <w:rPr>
          <w:spacing w:val="-13"/>
        </w:rPr>
        <w:t>外单位应收款项必须严格按照审批权限履行审批手续，并签订</w:t>
      </w:r>
      <w:r>
        <w:t xml:space="preserve"> </w:t>
      </w:r>
      <w:r>
        <w:rPr>
          <w:spacing w:val="-10"/>
        </w:rPr>
        <w:t>相关协议。对于外单位应收款项如发生催收困难，</w:t>
      </w:r>
      <w:r>
        <w:rPr>
          <w:spacing w:val="-50"/>
        </w:rPr>
        <w:t xml:space="preserve"> </w:t>
      </w:r>
      <w:r>
        <w:rPr>
          <w:spacing w:val="-11"/>
        </w:rPr>
        <w:t>必要时采取法律手段。</w:t>
      </w:r>
    </w:p>
    <w:p w14:paraId="0B8881D4">
      <w:pPr>
        <w:pStyle w:val="2"/>
        <w:spacing w:before="32" w:line="230" w:lineRule="auto"/>
        <w:ind w:left="8" w:firstLine="520"/>
      </w:pPr>
      <w:r>
        <w:rPr>
          <w:b/>
          <w:bCs/>
          <w:spacing w:val="-13"/>
        </w:rPr>
        <w:t>第五条</w:t>
      </w:r>
      <w:r>
        <w:rPr>
          <w:spacing w:val="-13"/>
        </w:rPr>
        <w:t xml:space="preserve">   申请预付款时需经办人持有效合同及审批单办理预付款业务，经</w:t>
      </w:r>
      <w:r>
        <w:rPr>
          <w:spacing w:val="18"/>
        </w:rPr>
        <w:t xml:space="preserve"> </w:t>
      </w:r>
      <w:r>
        <w:rPr>
          <w:spacing w:val="-10"/>
        </w:rPr>
        <w:t>办人及其所在部门应及时跟进业务进展情况，办理后续结</w:t>
      </w:r>
      <w:r>
        <w:rPr>
          <w:spacing w:val="-11"/>
        </w:rPr>
        <w:t>算及索取正式发票</w:t>
      </w:r>
      <w:r>
        <w:t xml:space="preserve">  </w:t>
      </w:r>
      <w:r>
        <w:rPr>
          <w:spacing w:val="-10"/>
        </w:rPr>
        <w:t>事宜。财务部门负责核算、督促经办人员及时办理后续手续。</w:t>
      </w:r>
    </w:p>
    <w:p w14:paraId="272F850B">
      <w:pPr>
        <w:pStyle w:val="2"/>
        <w:spacing w:before="27" w:line="228" w:lineRule="auto"/>
        <w:ind w:left="4" w:firstLine="524"/>
      </w:pPr>
      <w:r>
        <w:rPr>
          <w:b/>
          <w:bCs/>
          <w:spacing w:val="-14"/>
        </w:rPr>
        <w:t>第六条</w:t>
      </w:r>
      <w:r>
        <w:rPr>
          <w:spacing w:val="15"/>
        </w:rPr>
        <w:t xml:space="preserve">  </w:t>
      </w:r>
      <w:r>
        <w:rPr>
          <w:spacing w:val="-14"/>
        </w:rPr>
        <w:t>财务人员应于每月末对预收账款对应的合同协议等进行核对，</w:t>
      </w:r>
      <w:r>
        <w:rPr>
          <w:spacing w:val="-20"/>
        </w:rPr>
        <w:t xml:space="preserve"> </w:t>
      </w:r>
      <w:r>
        <w:rPr>
          <w:spacing w:val="-14"/>
        </w:rPr>
        <w:t>了</w:t>
      </w:r>
      <w:r>
        <w:t xml:space="preserve"> </w:t>
      </w:r>
      <w:r>
        <w:rPr>
          <w:spacing w:val="-10"/>
        </w:rPr>
        <w:t>解业务进展程度，获取业务完成进度的资料，根据实际完成情况结转收入，</w:t>
      </w:r>
    </w:p>
    <w:p w14:paraId="428CBFCD">
      <w:pPr>
        <w:pStyle w:val="2"/>
        <w:spacing w:before="24" w:line="205" w:lineRule="auto"/>
        <w:ind w:left="3"/>
      </w:pPr>
      <w:r>
        <w:rPr>
          <w:spacing w:val="-11"/>
        </w:rPr>
        <w:t>对达到结转收入条件的应及时结转。</w:t>
      </w:r>
    </w:p>
    <w:p w14:paraId="7CB4AABB">
      <w:pPr>
        <w:pStyle w:val="2"/>
        <w:spacing w:before="52" w:line="230" w:lineRule="auto"/>
        <w:ind w:left="1" w:firstLine="527"/>
      </w:pPr>
      <w:r>
        <w:rPr>
          <w:b/>
          <w:bCs/>
          <w:spacing w:val="-13"/>
        </w:rPr>
        <w:t>第七条</w:t>
      </w:r>
      <w:r>
        <w:rPr>
          <w:spacing w:val="24"/>
          <w:w w:val="101"/>
        </w:rPr>
        <w:t xml:space="preserve">  </w:t>
      </w:r>
      <w:r>
        <w:rPr>
          <w:spacing w:val="-13"/>
        </w:rPr>
        <w:t>定期核对清理，年终进行全面检查、对账，账面往来款余额应与</w:t>
      </w:r>
      <w:r>
        <w:t xml:space="preserve"> </w:t>
      </w:r>
      <w:r>
        <w:rPr>
          <w:spacing w:val="-10"/>
        </w:rPr>
        <w:t>合同内容、与往来单位和业务经办部门等核对；建立询证函制度，对重要余</w:t>
      </w:r>
      <w:r>
        <w:t xml:space="preserve">  </w:t>
      </w:r>
      <w:r>
        <w:rPr>
          <w:spacing w:val="-9"/>
        </w:rPr>
        <w:t>额实施函证程序，与年度财务审计一并进行。每年至少全面清</w:t>
      </w:r>
      <w:r>
        <w:rPr>
          <w:spacing w:val="-10"/>
        </w:rPr>
        <w:t>理、核对一</w:t>
      </w:r>
    </w:p>
    <w:p w14:paraId="36E85863">
      <w:pPr>
        <w:pStyle w:val="2"/>
        <w:spacing w:before="28" w:line="235" w:lineRule="auto"/>
        <w:ind w:left="6" w:right="362" w:firstLine="4"/>
      </w:pPr>
      <w:r>
        <w:rPr>
          <w:spacing w:val="-10"/>
        </w:rPr>
        <w:t>次。出现与对方单位核对不一致的情况，要及时查</w:t>
      </w:r>
      <w:r>
        <w:rPr>
          <w:spacing w:val="-11"/>
        </w:rPr>
        <w:t>明原因，并进行相应处</w:t>
      </w:r>
      <w:r>
        <w:t xml:space="preserve"> </w:t>
      </w:r>
      <w:r>
        <w:rPr>
          <w:spacing w:val="-17"/>
        </w:rPr>
        <w:t>理。</w:t>
      </w:r>
    </w:p>
    <w:p w14:paraId="424610D6">
      <w:pPr>
        <w:pStyle w:val="2"/>
        <w:spacing w:line="232" w:lineRule="auto"/>
        <w:ind w:left="5" w:firstLine="523"/>
        <w:jc w:val="both"/>
      </w:pPr>
      <w:r>
        <w:rPr>
          <w:b/>
          <w:bCs/>
          <w:spacing w:val="-13"/>
        </w:rPr>
        <w:t>第八条</w:t>
      </w:r>
      <w:r>
        <w:rPr>
          <w:spacing w:val="24"/>
          <w:w w:val="101"/>
        </w:rPr>
        <w:t xml:space="preserve">  </w:t>
      </w:r>
      <w:r>
        <w:rPr>
          <w:spacing w:val="-13"/>
        </w:rPr>
        <w:t>对于确实不能收回的应收款项，应查明原因，款项经手部门需形</w:t>
      </w:r>
      <w:r>
        <w:t xml:space="preserve"> </w:t>
      </w:r>
      <w:r>
        <w:rPr>
          <w:spacing w:val="-10"/>
        </w:rPr>
        <w:t>成书面报告提交基金会理事长授权人，报请应收款的资产损失。</w:t>
      </w:r>
      <w:r>
        <w:rPr>
          <w:spacing w:val="-11"/>
        </w:rPr>
        <w:t>财务部根据</w:t>
      </w:r>
      <w:r>
        <w:t xml:space="preserve">  </w:t>
      </w:r>
      <w:r>
        <w:rPr>
          <w:spacing w:val="-10"/>
        </w:rPr>
        <w:t>批准文件核销坏帐。</w:t>
      </w:r>
    </w:p>
    <w:p w14:paraId="7050E873">
      <w:pPr>
        <w:pStyle w:val="2"/>
        <w:spacing w:before="18" w:line="228" w:lineRule="auto"/>
        <w:ind w:left="9" w:firstLine="519"/>
      </w:pPr>
      <w:r>
        <w:rPr>
          <w:b/>
          <w:bCs/>
          <w:spacing w:val="-13"/>
        </w:rPr>
        <w:t>第九条</w:t>
      </w:r>
      <w:r>
        <w:rPr>
          <w:spacing w:val="24"/>
          <w:w w:val="101"/>
        </w:rPr>
        <w:t xml:space="preserve">  </w:t>
      </w:r>
      <w:r>
        <w:rPr>
          <w:spacing w:val="-13"/>
        </w:rPr>
        <w:t>年底结帐，按民间非营利组织会计制度规定，分析可回收性，对</w:t>
      </w:r>
      <w:r>
        <w:t xml:space="preserve"> </w:t>
      </w:r>
      <w:r>
        <w:rPr>
          <w:spacing w:val="-10"/>
        </w:rPr>
        <w:t>预计可能产生的坏帐损失计提坏帐准备，确认坏帐损失并计入当年管理费</w:t>
      </w:r>
    </w:p>
    <w:p w14:paraId="3A8F2451">
      <w:pPr>
        <w:spacing w:line="228" w:lineRule="auto"/>
        <w:sectPr>
          <w:pgSz w:w="11907" w:h="16839"/>
          <w:pgMar w:top="1214" w:right="1297" w:bottom="0" w:left="1603" w:header="0" w:footer="0" w:gutter="0"/>
          <w:cols w:space="720" w:num="1"/>
        </w:sectPr>
      </w:pPr>
    </w:p>
    <w:p w14:paraId="26F4B0AC">
      <w:pPr>
        <w:pStyle w:val="2"/>
        <w:spacing w:before="56" w:line="212" w:lineRule="auto"/>
        <w:ind w:left="3"/>
      </w:pPr>
      <w:r>
        <w:rPr>
          <w:spacing w:val="-17"/>
        </w:rPr>
        <w:t>用。</w:t>
      </w:r>
    </w:p>
    <w:p w14:paraId="1A2F6981">
      <w:pPr>
        <w:pStyle w:val="2"/>
        <w:spacing w:before="38" w:line="230" w:lineRule="auto"/>
        <w:ind w:firstLine="428"/>
        <w:rPr>
          <w:rFonts w:ascii="仿宋" w:hAnsi="仿宋" w:eastAsia="仿宋" w:cs="仿宋"/>
        </w:rPr>
      </w:pPr>
      <w:r>
        <w:rPr>
          <w:b/>
          <w:bCs/>
          <w:spacing w:val="-17"/>
        </w:rPr>
        <w:t>第十条</w:t>
      </w:r>
      <w:r>
        <w:rPr>
          <w:spacing w:val="16"/>
        </w:rPr>
        <w:t xml:space="preserve">  </w:t>
      </w:r>
      <w:r>
        <w:rPr>
          <w:spacing w:val="-17"/>
        </w:rPr>
        <w:t>对长期挂账且确实无法支付的应付款项，应报请领导审批，确</w:t>
      </w:r>
      <w:r>
        <w:rPr>
          <w:spacing w:val="-18"/>
        </w:rPr>
        <w:t>认为</w:t>
      </w:r>
      <w:r>
        <w:t xml:space="preserve"> </w:t>
      </w:r>
      <w:r>
        <w:rPr>
          <w:spacing w:val="-10"/>
        </w:rPr>
        <w:t>其它收入</w:t>
      </w:r>
      <w:r>
        <w:rPr>
          <w:rFonts w:ascii="仿宋" w:hAnsi="仿宋" w:eastAsia="仿宋" w:cs="仿宋"/>
          <w:spacing w:val="-10"/>
        </w:rPr>
        <w:t>。</w:t>
      </w:r>
      <w:bookmarkStart w:id="0" w:name="_GoBack"/>
      <w:bookmarkEnd w:id="0"/>
    </w:p>
    <w:sectPr>
      <w:pgSz w:w="11907" w:h="16839"/>
      <w:pgMar w:top="1197" w:right="1286" w:bottom="0" w:left="15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62D5598"/>
    <w:rsid w:val="28DB1473"/>
    <w:rsid w:val="7BF12B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华文仿宋" w:hAnsi="华文仿宋" w:eastAsia="华文仿宋" w:cs="华文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940</Words>
  <Characters>940</Characters>
  <TotalTime>0</TotalTime>
  <ScaleCrop>false</ScaleCrop>
  <LinksUpToDate>false</LinksUpToDate>
  <CharactersWithSpaces>993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2021-06-03T11:59:00Z</dcterms:created>
  <dc:creator>sheng sunny</dc:creator>
  <cp:lastModifiedBy>steven</cp:lastModifiedBy>
  <dcterms:modified xsi:type="dcterms:W3CDTF">2025-09-12T05:59:35Z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2025-01-20T14:54:21Z</vt:filetime>
  </property>
  <property fmtid="{D5CDD505-2E9C-101B-9397-08002B2CF9AE}" pid="4" name="KSOTemplateDocerSaveRecord">
    <vt:lpwstr>eyJoZGlkIjoiMzEwNTM5NzYwMDRjMzkwZTVkZjY2ODkwMGIxNGU0OTUiLCJ1c2VySWQiOiI3MTQyMjA4MjAifQ==</vt:lpwstr>
  </property>
  <property fmtid="{D5CDD505-2E9C-101B-9397-08002B2CF9AE}" pid="5" name="KSOProductBuildVer">
    <vt:lpwstr>2052-12.1.0.20784</vt:lpwstr>
  </property>
  <property fmtid="{D5CDD505-2E9C-101B-9397-08002B2CF9AE}" pid="6" name="ICV">
    <vt:lpwstr>B7DCB72B4A62436A8AA3D4313B55C438_13</vt:lpwstr>
  </property>
</Properties>
</file>