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D395A">
      <w:pPr>
        <w:pStyle w:val="2"/>
        <w:spacing w:before="55" w:line="208" w:lineRule="auto"/>
        <w:ind w:left="17"/>
      </w:pPr>
      <w:r>
        <w:rPr>
          <w:spacing w:val="-11"/>
        </w:rPr>
        <w:t>附件二</w:t>
      </w:r>
    </w:p>
    <w:p w14:paraId="17F45F75">
      <w:pPr>
        <w:spacing w:line="340" w:lineRule="auto"/>
        <w:rPr>
          <w:rFonts w:ascii="Arial"/>
          <w:sz w:val="21"/>
        </w:rPr>
      </w:pPr>
    </w:p>
    <w:p w14:paraId="380CE16B">
      <w:pPr>
        <w:spacing w:before="103" w:line="197" w:lineRule="auto"/>
        <w:jc w:val="center"/>
        <w:rPr>
          <w:rFonts w:ascii="华文中宋" w:hAnsi="华文中宋" w:eastAsia="华文中宋" w:cs="华文中宋"/>
          <w:spacing w:val="-10"/>
          <w:sz w:val="28"/>
          <w:szCs w:val="28"/>
        </w:rPr>
      </w:pPr>
      <w:r>
        <w:rPr>
          <w:rFonts w:ascii="华文中宋" w:hAnsi="华文中宋" w:eastAsia="华文中宋" w:cs="华文中宋"/>
          <w:spacing w:val="-10"/>
          <w:sz w:val="28"/>
          <w:szCs w:val="28"/>
        </w:rPr>
        <w:t>北京卫联</w:t>
      </w:r>
      <w:r>
        <w:rPr>
          <w:rFonts w:hint="eastAsia" w:ascii="华文中宋" w:hAnsi="华文中宋" w:eastAsia="华文中宋" w:cs="华文中宋"/>
          <w:spacing w:val="-10"/>
          <w:sz w:val="28"/>
          <w:szCs w:val="28"/>
          <w:lang w:val="en-US" w:eastAsia="zh-CN"/>
        </w:rPr>
        <w:t>健康公益</w:t>
      </w:r>
      <w:r>
        <w:rPr>
          <w:rFonts w:ascii="华文中宋" w:hAnsi="华文中宋" w:eastAsia="华文中宋" w:cs="华文中宋"/>
          <w:spacing w:val="-10"/>
          <w:sz w:val="28"/>
          <w:szCs w:val="28"/>
        </w:rPr>
        <w:t>基金会</w:t>
      </w:r>
    </w:p>
    <w:p w14:paraId="4691F975">
      <w:pPr>
        <w:spacing w:before="103" w:line="197" w:lineRule="auto"/>
        <w:jc w:val="center"/>
        <w:rPr>
          <w:rFonts w:ascii="华文中宋" w:hAnsi="华文中宋" w:eastAsia="华文中宋" w:cs="华文中宋"/>
          <w:sz w:val="28"/>
          <w:szCs w:val="28"/>
        </w:rPr>
      </w:pPr>
      <w:r>
        <w:rPr>
          <w:rFonts w:ascii="华文中宋" w:hAnsi="华文中宋" w:eastAsia="华文中宋" w:cs="华文中宋"/>
          <w:spacing w:val="-10"/>
          <w:sz w:val="28"/>
          <w:szCs w:val="28"/>
        </w:rPr>
        <w:t>会计电算化管理制度</w:t>
      </w:r>
    </w:p>
    <w:p w14:paraId="03709C84">
      <w:pPr>
        <w:spacing w:line="355" w:lineRule="auto"/>
        <w:rPr>
          <w:rFonts w:ascii="Arial"/>
          <w:sz w:val="21"/>
        </w:rPr>
      </w:pPr>
    </w:p>
    <w:p w14:paraId="6B135A31">
      <w:pPr>
        <w:pStyle w:val="2"/>
        <w:spacing w:before="102" w:line="207" w:lineRule="auto"/>
        <w:ind w:left="3748"/>
        <w:outlineLvl w:val="3"/>
      </w:pPr>
      <w:r>
        <w:rPr>
          <w:b/>
          <w:bCs/>
          <w:spacing w:val="-22"/>
        </w:rPr>
        <w:t>第一章</w:t>
      </w:r>
      <w:r>
        <w:rPr>
          <w:spacing w:val="-22"/>
        </w:rPr>
        <w:t xml:space="preserve">   </w:t>
      </w:r>
      <w:r>
        <w:rPr>
          <w:b/>
          <w:bCs/>
          <w:spacing w:val="-22"/>
        </w:rPr>
        <w:t>总则</w:t>
      </w:r>
    </w:p>
    <w:p w14:paraId="289FF563">
      <w:pPr>
        <w:pStyle w:val="2"/>
        <w:spacing w:before="48" w:line="230" w:lineRule="auto"/>
        <w:ind w:left="4" w:right="62" w:firstLine="519"/>
      </w:pPr>
      <w:r>
        <w:rPr>
          <w:b/>
          <w:bCs/>
          <w:spacing w:val="-20"/>
        </w:rPr>
        <w:t>第一条</w:t>
      </w:r>
      <w:r>
        <w:rPr>
          <w:spacing w:val="22"/>
        </w:rPr>
        <w:t xml:space="preserve">  </w:t>
      </w:r>
      <w:r>
        <w:rPr>
          <w:spacing w:val="-20"/>
        </w:rPr>
        <w:t>为了规范基金会会计电算化工作，保证会计电算化工作的顺利开</w:t>
      </w:r>
      <w:r>
        <w:rPr>
          <w:spacing w:val="1"/>
        </w:rPr>
        <w:t xml:space="preserve"> </w:t>
      </w:r>
      <w:r>
        <w:rPr>
          <w:spacing w:val="-18"/>
        </w:rPr>
        <w:t>展，根据财政部《会计电算化管理办法》和《会计电算化工作规范》，结合</w:t>
      </w:r>
      <w:r>
        <w:t xml:space="preserve">   </w:t>
      </w:r>
      <w:r>
        <w:rPr>
          <w:spacing w:val="-16"/>
        </w:rPr>
        <w:t>基金会财务管理和会计核算的有关规定制定本制度。</w:t>
      </w:r>
    </w:p>
    <w:p w14:paraId="169FCF47">
      <w:pPr>
        <w:pStyle w:val="2"/>
        <w:spacing w:before="28" w:line="207" w:lineRule="auto"/>
        <w:ind w:left="531"/>
      </w:pPr>
      <w:r>
        <w:rPr>
          <w:b/>
          <w:bCs/>
          <w:spacing w:val="-14"/>
        </w:rPr>
        <w:t>第二条</w:t>
      </w:r>
      <w:r>
        <w:rPr>
          <w:spacing w:val="19"/>
        </w:rPr>
        <w:t xml:space="preserve">  </w:t>
      </w:r>
      <w:r>
        <w:rPr>
          <w:spacing w:val="-14"/>
        </w:rPr>
        <w:t>本制度适用于基金会财务核算工作。</w:t>
      </w:r>
    </w:p>
    <w:p w14:paraId="0CCC157E">
      <w:pPr>
        <w:pStyle w:val="2"/>
        <w:spacing w:before="49" w:line="227" w:lineRule="auto"/>
        <w:ind w:left="6" w:right="62" w:firstLine="517"/>
      </w:pPr>
      <w:r>
        <w:rPr>
          <w:b/>
          <w:bCs/>
          <w:spacing w:val="-11"/>
        </w:rPr>
        <w:t>第三条</w:t>
      </w:r>
      <w:r>
        <w:rPr>
          <w:spacing w:val="18"/>
          <w:w w:val="101"/>
        </w:rPr>
        <w:t xml:space="preserve">  </w:t>
      </w:r>
      <w:r>
        <w:rPr>
          <w:spacing w:val="-11"/>
        </w:rPr>
        <w:t>本制度包括会计电算化岗位责任制度、会计电算化操作</w:t>
      </w:r>
      <w:r>
        <w:rPr>
          <w:spacing w:val="-12"/>
        </w:rPr>
        <w:t>管理制</w:t>
      </w:r>
      <w:r>
        <w:t xml:space="preserve"> </w:t>
      </w:r>
      <w:r>
        <w:rPr>
          <w:spacing w:val="-16"/>
        </w:rPr>
        <w:t>度、计算机硬软件和会计数据管理制度、电算化会计档案管理制度。</w:t>
      </w:r>
    </w:p>
    <w:p w14:paraId="15256D56">
      <w:pPr>
        <w:pStyle w:val="2"/>
        <w:spacing w:before="29" w:line="228" w:lineRule="auto"/>
        <w:ind w:left="3" w:right="62" w:firstLine="520"/>
      </w:pPr>
      <w:r>
        <w:rPr>
          <w:b/>
          <w:bCs/>
          <w:spacing w:val="-11"/>
        </w:rPr>
        <w:t>第四条</w:t>
      </w:r>
      <w:r>
        <w:rPr>
          <w:spacing w:val="18"/>
          <w:w w:val="101"/>
        </w:rPr>
        <w:t xml:space="preserve">  </w:t>
      </w:r>
      <w:r>
        <w:rPr>
          <w:spacing w:val="-11"/>
        </w:rPr>
        <w:t>本制度所指的计算机硬件是指支撑财务软件正常运行的</w:t>
      </w:r>
      <w:r>
        <w:rPr>
          <w:spacing w:val="-12"/>
        </w:rPr>
        <w:t>计算机</w:t>
      </w:r>
      <w:r>
        <w:t xml:space="preserve"> </w:t>
      </w:r>
      <w:r>
        <w:rPr>
          <w:spacing w:val="-16"/>
        </w:rPr>
        <w:t>及其相关设备，计算机软件是指用友财务软件及其他相</w:t>
      </w:r>
      <w:r>
        <w:rPr>
          <w:spacing w:val="-17"/>
        </w:rPr>
        <w:t>关软件。</w:t>
      </w:r>
    </w:p>
    <w:p w14:paraId="2F78636D">
      <w:pPr>
        <w:spacing w:line="322" w:lineRule="auto"/>
        <w:rPr>
          <w:rFonts w:ascii="Arial"/>
          <w:sz w:val="21"/>
        </w:rPr>
      </w:pPr>
    </w:p>
    <w:p w14:paraId="718D24E5">
      <w:pPr>
        <w:pStyle w:val="2"/>
        <w:spacing w:before="102" w:line="204" w:lineRule="auto"/>
        <w:ind w:left="2713"/>
        <w:outlineLvl w:val="3"/>
      </w:pPr>
      <w:r>
        <w:rPr>
          <w:b/>
          <w:bCs/>
          <w:spacing w:val="-28"/>
        </w:rPr>
        <w:t>第二章</w:t>
      </w:r>
      <w:r>
        <w:rPr>
          <w:spacing w:val="21"/>
        </w:rPr>
        <w:t xml:space="preserve">  </w:t>
      </w:r>
      <w:r>
        <w:rPr>
          <w:b/>
          <w:bCs/>
          <w:spacing w:val="-28"/>
        </w:rPr>
        <w:t>会计电算化岗位责任制</w:t>
      </w:r>
    </w:p>
    <w:p w14:paraId="596D3BEC">
      <w:pPr>
        <w:pStyle w:val="2"/>
        <w:spacing w:before="54" w:line="233" w:lineRule="auto"/>
        <w:ind w:left="10" w:firstLine="530"/>
      </w:pPr>
      <w:r>
        <w:rPr>
          <w:b/>
          <w:bCs/>
          <w:spacing w:val="-10"/>
        </w:rPr>
        <w:t>第五条</w:t>
      </w:r>
      <w:r>
        <w:rPr>
          <w:spacing w:val="22"/>
        </w:rPr>
        <w:t xml:space="preserve">  </w:t>
      </w:r>
      <w:r>
        <w:rPr>
          <w:spacing w:val="-10"/>
        </w:rPr>
        <w:t>基金会财务核算部门使用用友 U8+财务软件进行本单位的财务</w:t>
      </w:r>
      <w:r>
        <w:t xml:space="preserve"> </w:t>
      </w:r>
      <w:r>
        <w:rPr>
          <w:spacing w:val="-16"/>
        </w:rPr>
        <w:t>核算，并建立本单位的会计电算化岗位责任制，明确各电算化岗位的职责范</w:t>
      </w:r>
      <w:r>
        <w:rPr>
          <w:spacing w:val="3"/>
        </w:rPr>
        <w:t xml:space="preserve">  </w:t>
      </w:r>
      <w:r>
        <w:rPr>
          <w:spacing w:val="-17"/>
        </w:rPr>
        <w:t>围。</w:t>
      </w:r>
    </w:p>
    <w:p w14:paraId="1762D975">
      <w:pPr>
        <w:pStyle w:val="2"/>
        <w:spacing w:before="14" w:line="204" w:lineRule="auto"/>
        <w:ind w:left="531"/>
      </w:pPr>
      <w:r>
        <w:rPr>
          <w:b/>
          <w:bCs/>
          <w:spacing w:val="-14"/>
        </w:rPr>
        <w:t>第六条</w:t>
      </w:r>
      <w:r>
        <w:rPr>
          <w:spacing w:val="-14"/>
        </w:rPr>
        <w:t xml:space="preserve">   电算化会计岗位和工作职责如下：</w:t>
      </w:r>
    </w:p>
    <w:p w14:paraId="1A041071">
      <w:pPr>
        <w:pStyle w:val="2"/>
        <w:spacing w:before="52" w:line="206" w:lineRule="auto"/>
        <w:ind w:left="562"/>
      </w:pPr>
      <w:r>
        <w:rPr>
          <w:spacing w:val="-12"/>
        </w:rPr>
        <w:t>（一）软件操作岗</w:t>
      </w:r>
    </w:p>
    <w:p w14:paraId="4B1E9F1B">
      <w:pPr>
        <w:pStyle w:val="2"/>
        <w:spacing w:before="49" w:line="230" w:lineRule="auto"/>
        <w:ind w:right="75" w:firstLine="570"/>
      </w:pPr>
      <w:r>
        <w:rPr>
          <w:spacing w:val="-11"/>
        </w:rPr>
        <w:t>负责对本单位的会计事项进行会计处理并及时输入记账凭证等会计数</w:t>
      </w:r>
      <w:r>
        <w:rPr>
          <w:spacing w:val="2"/>
        </w:rPr>
        <w:t xml:space="preserve">  </w:t>
      </w:r>
      <w:r>
        <w:rPr>
          <w:spacing w:val="-17"/>
        </w:rPr>
        <w:t>据，输出记账凭证、会计账簿、报表，</w:t>
      </w:r>
      <w:r>
        <w:rPr>
          <w:spacing w:val="-20"/>
        </w:rPr>
        <w:t xml:space="preserve"> </w:t>
      </w:r>
      <w:r>
        <w:rPr>
          <w:spacing w:val="-17"/>
        </w:rPr>
        <w:t>进行部分会计数据处理工作；</w:t>
      </w:r>
      <w:r>
        <w:rPr>
          <w:spacing w:val="-35"/>
        </w:rPr>
        <w:t xml:space="preserve"> </w:t>
      </w:r>
      <w:r>
        <w:rPr>
          <w:spacing w:val="-17"/>
        </w:rPr>
        <w:t>负责会</w:t>
      </w:r>
      <w:r>
        <w:t xml:space="preserve"> </w:t>
      </w:r>
      <w:r>
        <w:rPr>
          <w:spacing w:val="-7"/>
        </w:rPr>
        <w:t>计资料的整理、登记、保管、保密工作。</w:t>
      </w:r>
    </w:p>
    <w:p w14:paraId="5F74FE22">
      <w:pPr>
        <w:pStyle w:val="2"/>
        <w:spacing w:before="29" w:line="204" w:lineRule="auto"/>
        <w:ind w:left="562"/>
      </w:pPr>
      <w:r>
        <w:rPr>
          <w:spacing w:val="-15"/>
        </w:rPr>
        <w:t>（二）</w:t>
      </w:r>
      <w:r>
        <w:rPr>
          <w:spacing w:val="-42"/>
        </w:rPr>
        <w:t xml:space="preserve"> </w:t>
      </w:r>
      <w:r>
        <w:rPr>
          <w:spacing w:val="-15"/>
        </w:rPr>
        <w:t>审核记账岗</w:t>
      </w:r>
    </w:p>
    <w:p w14:paraId="4F16A996">
      <w:pPr>
        <w:pStyle w:val="2"/>
        <w:spacing w:before="53" w:line="230" w:lineRule="auto"/>
        <w:ind w:left="3" w:right="134" w:firstLine="550"/>
      </w:pPr>
      <w:r>
        <w:rPr>
          <w:spacing w:val="-17"/>
        </w:rPr>
        <w:t>负责对输入计算机的会计数据（记账凭证和原始凭证）的真实性、合法</w:t>
      </w:r>
      <w:r>
        <w:t xml:space="preserve"> </w:t>
      </w:r>
      <w:r>
        <w:rPr>
          <w:spacing w:val="-11"/>
        </w:rPr>
        <w:t>性、完整性进行审核；操作会计软件登记机内账簿</w:t>
      </w:r>
      <w:r>
        <w:rPr>
          <w:spacing w:val="-21"/>
        </w:rPr>
        <w:t xml:space="preserve"> </w:t>
      </w:r>
      <w:r>
        <w:rPr>
          <w:spacing w:val="-11"/>
        </w:rPr>
        <w:t>，未审核的凭证不能记</w:t>
      </w:r>
      <w:r>
        <w:t xml:space="preserve"> </w:t>
      </w:r>
      <w:r>
        <w:rPr>
          <w:spacing w:val="-18"/>
        </w:rPr>
        <w:t>账；对打印输出的账簿、报表进行确认审核。</w:t>
      </w:r>
    </w:p>
    <w:p w14:paraId="63CCF110">
      <w:pPr>
        <w:pStyle w:val="2"/>
        <w:spacing w:before="30" w:line="204" w:lineRule="auto"/>
        <w:ind w:left="531"/>
      </w:pPr>
      <w:r>
        <w:rPr>
          <w:b/>
          <w:bCs/>
          <w:spacing w:val="-17"/>
        </w:rPr>
        <w:t>第七条</w:t>
      </w:r>
      <w:r>
        <w:rPr>
          <w:spacing w:val="15"/>
        </w:rPr>
        <w:t xml:space="preserve">  </w:t>
      </w:r>
      <w:r>
        <w:rPr>
          <w:spacing w:val="-17"/>
        </w:rPr>
        <w:t>会计数据的备份</w:t>
      </w:r>
    </w:p>
    <w:p w14:paraId="7A0A4B65">
      <w:pPr>
        <w:pStyle w:val="2"/>
        <w:spacing w:before="51" w:line="228" w:lineRule="auto"/>
        <w:ind w:left="5" w:right="158" w:firstLine="539"/>
      </w:pPr>
      <w:r>
        <w:rPr>
          <w:spacing w:val="-9"/>
        </w:rPr>
        <w:t>会计人员应至少每天进行一次硬盘备份或启用自动备份系统，对重要</w:t>
      </w:r>
      <w:r>
        <w:rPr>
          <w:spacing w:val="6"/>
        </w:rPr>
        <w:t xml:space="preserve"> </w:t>
      </w:r>
      <w:r>
        <w:rPr>
          <w:spacing w:val="-10"/>
        </w:rPr>
        <w:t>会计数据更新或修改后应及时进行备份。</w:t>
      </w:r>
      <w:bookmarkStart w:id="0" w:name="_GoBack"/>
      <w:bookmarkEnd w:id="0"/>
    </w:p>
    <w:sectPr>
      <w:pgSz w:w="11907" w:h="16839"/>
      <w:pgMar w:top="1197" w:right="1286" w:bottom="0" w:left="15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62D5598"/>
    <w:rsid w:val="3BF828B2"/>
    <w:rsid w:val="7EF718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华文仿宋" w:hAnsi="华文仿宋" w:eastAsia="华文仿宋" w:cs="华文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585</Words>
  <Characters>587</Characters>
  <TotalTime>0</TotalTime>
  <ScaleCrop>false</ScaleCrop>
  <LinksUpToDate>false</LinksUpToDate>
  <CharactersWithSpaces>627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2021-06-03T11:59:00Z</dcterms:created>
  <dc:creator>sheng sunny</dc:creator>
  <cp:lastModifiedBy>steven</cp:lastModifiedBy>
  <dcterms:modified xsi:type="dcterms:W3CDTF">2025-09-12T05:58:10Z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2025-01-20T14:54:21Z</vt:filetime>
  </property>
  <property fmtid="{D5CDD505-2E9C-101B-9397-08002B2CF9AE}" pid="4" name="KSOTemplateDocerSaveRecord">
    <vt:lpwstr>eyJoZGlkIjoiMzEwNTM5NzYwMDRjMzkwZTVkZjY2ODkwMGIxNGU0OTUiLCJ1c2VySWQiOiI3MTQyMjA4MjAifQ==</vt:lpwstr>
  </property>
  <property fmtid="{D5CDD505-2E9C-101B-9397-08002B2CF9AE}" pid="5" name="KSOProductBuildVer">
    <vt:lpwstr>2052-12.1.0.20784</vt:lpwstr>
  </property>
  <property fmtid="{D5CDD505-2E9C-101B-9397-08002B2CF9AE}" pid="6" name="ICV">
    <vt:lpwstr>7E2EB6E3C9AB48D080502592B403727E_13</vt:lpwstr>
  </property>
</Properties>
</file>